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541" w:rsidRPr="006B30C1" w:rsidRDefault="00546541" w:rsidP="00546541">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546541" w:rsidRPr="00DB0115" w:rsidRDefault="00546541" w:rsidP="00546541">
      <w:pPr>
        <w:ind w:left="360"/>
        <w:jc w:val="center"/>
        <w:rPr>
          <w:rFonts w:ascii="Arial" w:hAnsi="Arial" w:cs="Arial"/>
          <w:b/>
          <w:caps/>
          <w:sz w:val="16"/>
          <w:szCs w:val="16"/>
        </w:rPr>
      </w:pPr>
      <w:r>
        <w:rPr>
          <w:rFonts w:ascii="Arial" w:hAnsi="Arial" w:cs="Arial"/>
          <w:b/>
          <w:caps/>
          <w:sz w:val="16"/>
          <w:szCs w:val="16"/>
        </w:rPr>
        <w:t>МОДЕЛь</w:t>
      </w:r>
      <w:r>
        <w:rPr>
          <w:rFonts w:ascii="Arial" w:hAnsi="Arial" w:cs="Arial"/>
          <w:b/>
          <w:caps/>
          <w:sz w:val="16"/>
          <w:szCs w:val="16"/>
        </w:rPr>
        <w:t>: PL595</w:t>
      </w:r>
    </w:p>
    <w:p w:rsidR="00101E1B" w:rsidRPr="009F4307" w:rsidRDefault="00546541" w:rsidP="00546541">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546541"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3917BC" w:rsidP="00541B99">
            <w:pPr>
              <w:suppressAutoHyphens/>
              <w:jc w:val="center"/>
              <w:rPr>
                <w:rFonts w:ascii="Arial" w:hAnsi="Arial" w:cs="Arial"/>
                <w:sz w:val="16"/>
                <w:szCs w:val="16"/>
              </w:rPr>
            </w:pPr>
            <w:r>
              <w:rPr>
                <w:rFonts w:ascii="Arial" w:hAnsi="Arial" w:cs="Arial"/>
                <w:sz w:val="16"/>
                <w:szCs w:val="16"/>
              </w:rPr>
              <w:t>Оцинкованное железо</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546541" w:rsidRDefault="00546541" w:rsidP="00445480">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445480" w:rsidP="00541B99">
      <w:pPr>
        <w:suppressAutoHyphens/>
        <w:jc w:val="center"/>
        <w:rPr>
          <w:rFonts w:ascii="Arial" w:hAnsi="Arial" w:cs="Arial"/>
          <w:sz w:val="16"/>
          <w:szCs w:val="16"/>
        </w:rPr>
      </w:pPr>
      <w:r>
        <w:rPr>
          <w:rFonts w:ascii="Arial" w:hAnsi="Arial" w:cs="Arial"/>
          <w:noProof/>
          <w:sz w:val="16"/>
          <w:szCs w:val="16"/>
        </w:rPr>
        <w:drawing>
          <wp:inline distT="0" distB="0" distL="0" distR="0">
            <wp:extent cx="1819026" cy="261257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6773" cy="2623697"/>
                    </a:xfrm>
                    <a:prstGeom prst="rect">
                      <a:avLst/>
                    </a:prstGeom>
                    <a:noFill/>
                    <a:ln>
                      <a:noFill/>
                    </a:ln>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 xml:space="preserve">Закрепите кронштейн светильника на монтажной поверхности при помощи </w:t>
      </w:r>
      <w:proofErr w:type="spellStart"/>
      <w:r>
        <w:rPr>
          <w:rFonts w:ascii="Arial" w:hAnsi="Arial" w:cs="Arial"/>
          <w:sz w:val="16"/>
          <w:szCs w:val="16"/>
        </w:rPr>
        <w:t>саморезов</w:t>
      </w:r>
      <w:proofErr w:type="spellEnd"/>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t xml:space="preserve">Присоедините сетевые провода к сетевым зажимам светильника при помощи </w:t>
      </w:r>
      <w:proofErr w:type="spellStart"/>
      <w:r w:rsidRPr="00DF0954">
        <w:rPr>
          <w:rFonts w:ascii="Arial" w:hAnsi="Arial" w:cs="Arial"/>
          <w:sz w:val="16"/>
          <w:szCs w:val="16"/>
        </w:rPr>
        <w:t>клеммной</w:t>
      </w:r>
      <w:proofErr w:type="spellEnd"/>
      <w:r w:rsidRPr="00DF0954">
        <w:rPr>
          <w:rFonts w:ascii="Arial" w:hAnsi="Arial" w:cs="Arial"/>
          <w:sz w:val="16"/>
          <w:szCs w:val="16"/>
        </w:rPr>
        <w:t xml:space="preserve">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546541" w:rsidRPr="009F4307" w:rsidRDefault="00546541" w:rsidP="00546541">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546541" w:rsidRPr="009F4307" w:rsidRDefault="00546541" w:rsidP="00546541">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46541" w:rsidRPr="009F4307" w:rsidRDefault="00546541" w:rsidP="00546541">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46541" w:rsidRPr="009F4307" w:rsidRDefault="00546541" w:rsidP="00546541">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46541" w:rsidRPr="009F4307" w:rsidRDefault="00546541" w:rsidP="00546541">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546541" w:rsidRPr="009C75CC" w:rsidRDefault="00546541" w:rsidP="00546541">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546541" w:rsidRPr="009F4307" w:rsidRDefault="00546541" w:rsidP="00546541">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46541" w:rsidRPr="009F4307" w:rsidRDefault="00546541" w:rsidP="00546541">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546541" w:rsidRPr="009F4307" w:rsidRDefault="00546541" w:rsidP="00546541">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6541" w:rsidRPr="009F4307" w:rsidRDefault="00546541" w:rsidP="00546541">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546541" w:rsidP="00546541">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2744814" wp14:editId="61FDDC2A">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bookmarkStart w:id="0" w:name="_GoBack"/>
      <w:bookmarkEnd w:id="0"/>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46541"/>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1EAA3"/>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911</Words>
  <Characters>6501</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2019-11-19T10:50:00Z</dcterms:created>
  <dcterms:modified xsi:type="dcterms:W3CDTF">2020-04-22T14:54:00Z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