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B83450" w:rsidRDefault="001168C6" w:rsidP="001168C6">
      <w:pPr>
        <w:spacing w:after="0" w:line="240" w:lineRule="auto"/>
        <w:jc w:val="center"/>
        <w:rPr>
          <w:rFonts w:ascii="Arial" w:eastAsia="PMingLiU" w:hAnsi="Arial" w:cs="Arial"/>
          <w:b/>
          <w:sz w:val="16"/>
          <w:szCs w:val="16"/>
          <w:lang w:val="en-US"/>
        </w:rPr>
      </w:pPr>
      <w:r w:rsidRPr="00ED3338">
        <w:rPr>
          <w:rFonts w:ascii="Arial" w:hAnsi="Arial" w:cs="Arial"/>
          <w:b/>
          <w:caps/>
          <w:sz w:val="16"/>
          <w:szCs w:val="16"/>
        </w:rPr>
        <w:t xml:space="preserve">модели: </w:t>
      </w:r>
      <w:r w:rsidRPr="00ED3338">
        <w:rPr>
          <w:rFonts w:ascii="Arial" w:hAnsi="Arial" w:cs="Arial"/>
          <w:b/>
          <w:caps/>
          <w:sz w:val="16"/>
          <w:szCs w:val="16"/>
          <w:lang w:val="en-US"/>
        </w:rPr>
        <w:t>DH</w:t>
      </w:r>
      <w:r>
        <w:rPr>
          <w:rFonts w:ascii="Arial" w:hAnsi="Arial" w:cs="Arial"/>
          <w:b/>
          <w:caps/>
          <w:sz w:val="16"/>
          <w:szCs w:val="16"/>
        </w:rPr>
        <w:t>101</w:t>
      </w:r>
      <w:r w:rsidRPr="00ED3338">
        <w:rPr>
          <w:rFonts w:ascii="Arial" w:hAnsi="Arial" w:cs="Arial"/>
          <w:b/>
          <w:caps/>
          <w:sz w:val="16"/>
          <w:szCs w:val="16"/>
        </w:rPr>
        <w:t xml:space="preserve">, </w:t>
      </w:r>
      <w:r w:rsidRPr="00ED3338">
        <w:rPr>
          <w:rFonts w:ascii="Arial" w:hAnsi="Arial" w:cs="Arial"/>
          <w:b/>
          <w:caps/>
          <w:sz w:val="16"/>
          <w:szCs w:val="16"/>
          <w:lang w:val="en-US"/>
        </w:rPr>
        <w:t>dh</w:t>
      </w:r>
      <w:r w:rsidR="00B83450" w:rsidRPr="00B83450">
        <w:rPr>
          <w:rFonts w:ascii="Arial" w:hAnsi="Arial" w:cs="Arial"/>
          <w:b/>
          <w:caps/>
          <w:sz w:val="16"/>
          <w:szCs w:val="16"/>
        </w:rPr>
        <w:t>7</w:t>
      </w:r>
      <w:r w:rsidR="00B83450">
        <w:rPr>
          <w:rFonts w:ascii="Arial" w:hAnsi="Arial" w:cs="Arial"/>
          <w:b/>
          <w:caps/>
          <w:sz w:val="16"/>
          <w:szCs w:val="16"/>
          <w:lang w:val="en-US"/>
        </w:rPr>
        <w:t>01</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151"/>
        <w:gridCol w:w="1151"/>
      </w:tblGrid>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E679DD" w:rsidRPr="00B41506" w:rsidRDefault="00E679DD" w:rsidP="001168C6">
            <w:pPr>
              <w:jc w:val="center"/>
              <w:rPr>
                <w:rFonts w:ascii="Arial" w:hAnsi="Arial" w:cs="Arial"/>
                <w:sz w:val="16"/>
                <w:szCs w:val="16"/>
                <w:lang w:val="en-US"/>
              </w:rPr>
            </w:pPr>
            <w:r>
              <w:rPr>
                <w:rFonts w:ascii="Arial" w:hAnsi="Arial" w:cs="Arial"/>
                <w:sz w:val="16"/>
                <w:szCs w:val="16"/>
                <w:lang w:val="en-US"/>
              </w:rPr>
              <w:t>DH101</w:t>
            </w:r>
          </w:p>
        </w:tc>
        <w:tc>
          <w:tcPr>
            <w:tcW w:w="0" w:type="auto"/>
          </w:tcPr>
          <w:p w:rsidR="00E679DD" w:rsidRPr="00B41506" w:rsidRDefault="00E679DD" w:rsidP="001168C6">
            <w:pPr>
              <w:jc w:val="center"/>
              <w:rPr>
                <w:rFonts w:ascii="Arial" w:hAnsi="Arial" w:cs="Arial"/>
                <w:sz w:val="16"/>
                <w:szCs w:val="16"/>
                <w:lang w:val="en-US"/>
              </w:rPr>
            </w:pPr>
            <w:r>
              <w:rPr>
                <w:rFonts w:ascii="Arial" w:hAnsi="Arial" w:cs="Arial"/>
                <w:sz w:val="16"/>
                <w:szCs w:val="16"/>
                <w:lang w:val="en-US"/>
              </w:rPr>
              <w:t>DH</w:t>
            </w:r>
            <w:r w:rsidR="00B83450">
              <w:rPr>
                <w:rFonts w:ascii="Arial" w:hAnsi="Arial" w:cs="Arial"/>
                <w:sz w:val="16"/>
                <w:szCs w:val="16"/>
                <w:lang w:val="en-US"/>
              </w:rPr>
              <w:t>7</w:t>
            </w:r>
            <w:r>
              <w:rPr>
                <w:rFonts w:ascii="Arial" w:hAnsi="Arial" w:cs="Arial"/>
                <w:sz w:val="16"/>
                <w:szCs w:val="16"/>
                <w:lang w:val="en-US"/>
              </w:rPr>
              <w:t>0</w:t>
            </w:r>
            <w:r w:rsidR="00B83450">
              <w:rPr>
                <w:rFonts w:ascii="Arial" w:hAnsi="Arial" w:cs="Arial"/>
                <w:sz w:val="16"/>
                <w:szCs w:val="16"/>
                <w:lang w:val="en-US"/>
              </w:rPr>
              <w:t>1</w:t>
            </w:r>
          </w:p>
        </w:tc>
      </w:tr>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E679DD" w:rsidRPr="00B41506" w:rsidRDefault="00E679DD" w:rsidP="001168C6">
            <w:pPr>
              <w:jc w:val="center"/>
              <w:rPr>
                <w:rFonts w:ascii="Arial" w:hAnsi="Arial" w:cs="Arial"/>
                <w:sz w:val="16"/>
                <w:szCs w:val="16"/>
              </w:rPr>
            </w:pPr>
            <w:r>
              <w:rPr>
                <w:rFonts w:ascii="Arial" w:hAnsi="Arial" w:cs="Arial"/>
                <w:sz w:val="16"/>
                <w:szCs w:val="16"/>
                <w:lang w:val="en-US"/>
              </w:rPr>
              <w:t>6</w:t>
            </w:r>
            <w:r w:rsidR="00AB208F" w:rsidRPr="00B41506">
              <w:rPr>
                <w:rFonts w:ascii="Arial" w:hAnsi="Arial" w:cs="Arial"/>
                <w:sz w:val="16"/>
                <w:szCs w:val="16"/>
              </w:rPr>
              <w:t>×</w:t>
            </w:r>
            <w:r w:rsidR="00AB208F">
              <w:rPr>
                <w:rFonts w:ascii="Arial" w:hAnsi="Arial" w:cs="Arial"/>
                <w:sz w:val="16"/>
                <w:szCs w:val="16"/>
              </w:rPr>
              <w:t>1</w:t>
            </w:r>
            <w:r w:rsidRPr="00B41506">
              <w:rPr>
                <w:rFonts w:ascii="Arial" w:hAnsi="Arial" w:cs="Arial"/>
                <w:sz w:val="16"/>
                <w:szCs w:val="16"/>
              </w:rPr>
              <w:t>Вт</w:t>
            </w:r>
          </w:p>
        </w:tc>
        <w:tc>
          <w:tcPr>
            <w:tcW w:w="0" w:type="auto"/>
          </w:tcPr>
          <w:p w:rsidR="00E679DD" w:rsidRPr="00B41506" w:rsidRDefault="00AB208F" w:rsidP="001168C6">
            <w:pPr>
              <w:jc w:val="center"/>
              <w:rPr>
                <w:rFonts w:ascii="Arial" w:hAnsi="Arial" w:cs="Arial"/>
                <w:sz w:val="16"/>
                <w:szCs w:val="16"/>
              </w:rPr>
            </w:pPr>
            <w:r>
              <w:rPr>
                <w:rFonts w:ascii="Arial" w:hAnsi="Arial" w:cs="Arial"/>
                <w:sz w:val="16"/>
                <w:szCs w:val="16"/>
              </w:rPr>
              <w:t>4</w:t>
            </w:r>
            <w:r w:rsidRPr="00B41506">
              <w:rPr>
                <w:rFonts w:ascii="Arial" w:hAnsi="Arial" w:cs="Arial"/>
                <w:sz w:val="16"/>
                <w:szCs w:val="16"/>
              </w:rPr>
              <w:t>×</w:t>
            </w:r>
            <w:r w:rsidR="004D4D8A">
              <w:rPr>
                <w:rFonts w:ascii="Arial" w:hAnsi="Arial" w:cs="Arial"/>
                <w:sz w:val="16"/>
                <w:szCs w:val="16"/>
              </w:rPr>
              <w:t>1</w:t>
            </w:r>
            <w:r w:rsidR="00E679DD"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2"/>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2"/>
            <w:vAlign w:val="center"/>
          </w:tcPr>
          <w:p w:rsidR="00070530" w:rsidRPr="00070530" w:rsidRDefault="000F781F" w:rsidP="001168C6">
            <w:pPr>
              <w:jc w:val="center"/>
              <w:rPr>
                <w:rFonts w:ascii="Arial" w:hAnsi="Arial" w:cs="Arial"/>
                <w:sz w:val="16"/>
                <w:szCs w:val="16"/>
              </w:rPr>
            </w:pPr>
            <w:r>
              <w:rPr>
                <w:rFonts w:ascii="Arial" w:hAnsi="Arial" w:cs="Arial"/>
                <w:sz w:val="16"/>
                <w:szCs w:val="16"/>
              </w:rPr>
              <w:t>8</w:t>
            </w:r>
            <w:r w:rsidR="00070530">
              <w:rPr>
                <w:rFonts w:ascii="Arial" w:hAnsi="Arial" w:cs="Arial"/>
                <w:sz w:val="16"/>
                <w:szCs w:val="16"/>
              </w:rPr>
              <w:t>5-264В</w:t>
            </w:r>
          </w:p>
        </w:tc>
      </w:tr>
      <w:tr w:rsidR="00070530" w:rsidRPr="00B41506" w:rsidTr="004F33AB">
        <w:trPr>
          <w:jc w:val="center"/>
        </w:trPr>
        <w:tc>
          <w:tcPr>
            <w:tcW w:w="0" w:type="auto"/>
            <w:vAlign w:val="center"/>
          </w:tcPr>
          <w:p w:rsidR="00070530" w:rsidRPr="00B41506" w:rsidRDefault="00070530"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070530" w:rsidRPr="00B41506" w:rsidRDefault="00AB208F" w:rsidP="001168C6">
            <w:pPr>
              <w:jc w:val="center"/>
              <w:rPr>
                <w:rFonts w:ascii="Arial" w:hAnsi="Arial" w:cs="Arial"/>
                <w:sz w:val="16"/>
                <w:szCs w:val="16"/>
              </w:rPr>
            </w:pPr>
            <w:r>
              <w:rPr>
                <w:rFonts w:ascii="Arial" w:hAnsi="Arial" w:cs="Arial"/>
                <w:sz w:val="16"/>
                <w:szCs w:val="16"/>
              </w:rPr>
              <w:t>4</w:t>
            </w:r>
            <w:r w:rsidR="004D4D8A">
              <w:rPr>
                <w:rFonts w:ascii="Arial" w:hAnsi="Arial" w:cs="Arial"/>
                <w:sz w:val="16"/>
                <w:szCs w:val="16"/>
              </w:rPr>
              <w:t>5</w:t>
            </w:r>
            <w:r>
              <w:rPr>
                <w:rFonts w:ascii="Arial" w:hAnsi="Arial" w:cs="Arial"/>
                <w:sz w:val="16"/>
                <w:szCs w:val="16"/>
              </w:rPr>
              <w:t>0</w:t>
            </w:r>
            <w:r w:rsidR="000E492F">
              <w:rPr>
                <w:rFonts w:ascii="Arial" w:hAnsi="Arial" w:cs="Arial"/>
                <w:sz w:val="16"/>
                <w:szCs w:val="16"/>
              </w:rPr>
              <w:t>лм</w:t>
            </w:r>
          </w:p>
        </w:tc>
        <w:tc>
          <w:tcPr>
            <w:tcW w:w="0" w:type="auto"/>
            <w:vAlign w:val="center"/>
          </w:tcPr>
          <w:p w:rsidR="00070530" w:rsidRPr="00B41506" w:rsidRDefault="00B83450" w:rsidP="001168C6">
            <w:pPr>
              <w:jc w:val="center"/>
              <w:rPr>
                <w:rFonts w:ascii="Arial" w:hAnsi="Arial" w:cs="Arial"/>
                <w:sz w:val="16"/>
                <w:szCs w:val="16"/>
              </w:rPr>
            </w:pPr>
            <w:r>
              <w:rPr>
                <w:rFonts w:ascii="Arial" w:hAnsi="Arial" w:cs="Arial"/>
                <w:sz w:val="16"/>
                <w:szCs w:val="16"/>
                <w:lang w:val="en-US"/>
              </w:rPr>
              <w:t>3</w:t>
            </w:r>
            <w:r w:rsidR="004D4D8A">
              <w:rPr>
                <w:rFonts w:ascii="Arial" w:hAnsi="Arial" w:cs="Arial"/>
                <w:sz w:val="16"/>
                <w:szCs w:val="16"/>
              </w:rPr>
              <w:t>00</w:t>
            </w:r>
            <w:r w:rsidR="000E492F">
              <w:rPr>
                <w:rFonts w:ascii="Arial" w:hAnsi="Arial" w:cs="Arial"/>
                <w:sz w:val="16"/>
                <w:szCs w:val="16"/>
              </w:rPr>
              <w:t>лм</w:t>
            </w:r>
          </w:p>
        </w:tc>
      </w:tr>
      <w:tr w:rsidR="00B83450" w:rsidRPr="00B41506" w:rsidTr="00DA65DF">
        <w:trPr>
          <w:jc w:val="center"/>
        </w:trPr>
        <w:tc>
          <w:tcPr>
            <w:tcW w:w="0" w:type="auto"/>
            <w:vAlign w:val="center"/>
          </w:tcPr>
          <w:p w:rsidR="00B83450" w:rsidRPr="00B41506" w:rsidRDefault="00B83450"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gridSpan w:val="2"/>
            <w:vAlign w:val="center"/>
          </w:tcPr>
          <w:p w:rsidR="00B83450" w:rsidRPr="002E610E" w:rsidRDefault="00B83450" w:rsidP="001168C6">
            <w:pPr>
              <w:jc w:val="center"/>
              <w:rPr>
                <w:rFonts w:ascii="Arial" w:hAnsi="Arial" w:cs="Arial"/>
                <w:sz w:val="16"/>
                <w:szCs w:val="16"/>
                <w:lang w:val="en-US"/>
              </w:rPr>
            </w:pPr>
            <w:r>
              <w:rPr>
                <w:rFonts w:ascii="Arial" w:hAnsi="Arial" w:cs="Arial"/>
                <w:sz w:val="16"/>
                <w:szCs w:val="16"/>
                <w:lang w:val="en-US"/>
              </w:rPr>
              <w:t xml:space="preserve">3000K, </w:t>
            </w:r>
            <w:r>
              <w:rPr>
                <w:rFonts w:ascii="Arial" w:hAnsi="Arial" w:cs="Arial"/>
                <w:sz w:val="16"/>
                <w:szCs w:val="16"/>
              </w:rPr>
              <w:t>4000К</w:t>
            </w:r>
          </w:p>
        </w:tc>
      </w:tr>
      <w:tr w:rsidR="00E679DD" w:rsidRPr="00B41506" w:rsidTr="00E679DD">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E679DD" w:rsidRPr="00B41506" w:rsidRDefault="00AB208F" w:rsidP="001168C6">
            <w:pPr>
              <w:jc w:val="center"/>
              <w:rPr>
                <w:rFonts w:ascii="Arial" w:hAnsi="Arial" w:cs="Arial"/>
                <w:sz w:val="16"/>
                <w:szCs w:val="16"/>
              </w:rPr>
            </w:pPr>
            <w:r>
              <w:rPr>
                <w:rFonts w:ascii="Arial" w:hAnsi="Arial" w:cs="Arial"/>
                <w:sz w:val="16"/>
                <w:szCs w:val="16"/>
              </w:rPr>
              <w:t>6</w:t>
            </w:r>
            <w:r w:rsidR="00E679DD" w:rsidRPr="00B41506">
              <w:rPr>
                <w:rFonts w:ascii="Arial" w:hAnsi="Arial" w:cs="Arial"/>
                <w:sz w:val="16"/>
                <w:szCs w:val="16"/>
              </w:rPr>
              <w:t xml:space="preserve"> </w:t>
            </w:r>
          </w:p>
        </w:tc>
        <w:tc>
          <w:tcPr>
            <w:tcW w:w="0" w:type="auto"/>
            <w:vAlign w:val="center"/>
          </w:tcPr>
          <w:p w:rsidR="00E679DD" w:rsidRPr="00B41506" w:rsidRDefault="00AB208F" w:rsidP="001168C6">
            <w:pPr>
              <w:jc w:val="center"/>
              <w:rPr>
                <w:rFonts w:ascii="Arial" w:hAnsi="Arial" w:cs="Arial"/>
                <w:sz w:val="16"/>
                <w:szCs w:val="16"/>
              </w:rPr>
            </w:pPr>
            <w:r>
              <w:rPr>
                <w:rFonts w:ascii="Arial" w:hAnsi="Arial" w:cs="Arial"/>
                <w:sz w:val="16"/>
                <w:szCs w:val="16"/>
              </w:rPr>
              <w:t>4</w:t>
            </w:r>
          </w:p>
        </w:tc>
      </w:tr>
      <w:tr w:rsidR="00B83450" w:rsidRPr="00B41506" w:rsidTr="00224A92">
        <w:trPr>
          <w:jc w:val="center"/>
        </w:trPr>
        <w:tc>
          <w:tcPr>
            <w:tcW w:w="0" w:type="auto"/>
            <w:vAlign w:val="center"/>
          </w:tcPr>
          <w:p w:rsidR="00B83450" w:rsidRPr="00B41506" w:rsidRDefault="00B83450" w:rsidP="001168C6">
            <w:pPr>
              <w:rPr>
                <w:rFonts w:ascii="Arial" w:hAnsi="Arial" w:cs="Arial"/>
                <w:sz w:val="16"/>
                <w:szCs w:val="16"/>
              </w:rPr>
            </w:pPr>
            <w:r w:rsidRPr="00B41506">
              <w:rPr>
                <w:rFonts w:ascii="Arial" w:hAnsi="Arial" w:cs="Arial"/>
                <w:sz w:val="16"/>
                <w:szCs w:val="16"/>
              </w:rPr>
              <w:t>Угол рассеивания</w:t>
            </w:r>
          </w:p>
        </w:tc>
        <w:tc>
          <w:tcPr>
            <w:tcW w:w="0" w:type="auto"/>
            <w:gridSpan w:val="2"/>
            <w:vAlign w:val="center"/>
          </w:tcPr>
          <w:p w:rsidR="00B83450" w:rsidRPr="00B41506" w:rsidRDefault="00B83450" w:rsidP="001168C6">
            <w:pPr>
              <w:jc w:val="center"/>
              <w:rPr>
                <w:rFonts w:ascii="Arial" w:hAnsi="Arial" w:cs="Arial"/>
                <w:sz w:val="16"/>
                <w:szCs w:val="16"/>
              </w:rPr>
            </w:pPr>
            <w:r>
              <w:rPr>
                <w:rFonts w:ascii="Arial" w:hAnsi="Arial" w:cs="Arial"/>
                <w:sz w:val="16"/>
                <w:szCs w:val="16"/>
              </w:rPr>
              <w:t>60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2"/>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°С..</w:t>
            </w:r>
            <w:r>
              <w:rPr>
                <w:rFonts w:ascii="Arial" w:eastAsia="SimSun" w:hAnsi="Arial" w:cs="Arial"/>
                <w:bCs/>
                <w:color w:val="000000"/>
                <w:sz w:val="16"/>
                <w:szCs w:val="16"/>
              </w:rPr>
              <w:t>+</w:t>
            </w:r>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gridSpan w:val="2"/>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2"/>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2"/>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2"/>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2"/>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 пластик</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gridSpan w:val="2"/>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E679DD" w:rsidRPr="00AB208F" w:rsidRDefault="00E679DD" w:rsidP="001168C6">
            <w:pPr>
              <w:jc w:val="center"/>
              <w:rPr>
                <w:rFonts w:ascii="Arial" w:hAnsi="Arial" w:cs="Arial"/>
                <w:sz w:val="16"/>
                <w:szCs w:val="16"/>
              </w:rPr>
            </w:pPr>
            <w:r w:rsidRPr="00B41506">
              <w:rPr>
                <w:rFonts w:ascii="Arial" w:hAnsi="Arial" w:cs="Arial"/>
                <w:sz w:val="16"/>
                <w:szCs w:val="16"/>
              </w:rPr>
              <w:t>Ø</w:t>
            </w:r>
            <w:r w:rsidR="00AB208F">
              <w:rPr>
                <w:rFonts w:ascii="Arial" w:hAnsi="Arial" w:cs="Arial"/>
                <w:sz w:val="16"/>
                <w:szCs w:val="16"/>
              </w:rPr>
              <w:t>170</w:t>
            </w:r>
            <w:r w:rsidRPr="00B41506">
              <w:rPr>
                <w:rFonts w:ascii="Arial" w:hAnsi="Arial" w:cs="Arial"/>
                <w:sz w:val="16"/>
                <w:szCs w:val="16"/>
              </w:rPr>
              <w:t>×</w:t>
            </w:r>
            <w:r w:rsidR="00AB208F">
              <w:rPr>
                <w:rFonts w:ascii="Arial" w:hAnsi="Arial" w:cs="Arial"/>
                <w:sz w:val="16"/>
                <w:szCs w:val="16"/>
              </w:rPr>
              <w:t>40</w:t>
            </w:r>
            <w:r w:rsidR="00AB208F" w:rsidRPr="00B41506">
              <w:rPr>
                <w:rFonts w:ascii="Arial" w:hAnsi="Arial" w:cs="Arial"/>
                <w:sz w:val="16"/>
                <w:szCs w:val="16"/>
              </w:rPr>
              <w:t>×</w:t>
            </w:r>
            <w:r w:rsidR="00AB208F">
              <w:rPr>
                <w:rFonts w:ascii="Arial" w:hAnsi="Arial" w:cs="Arial"/>
                <w:sz w:val="16"/>
                <w:szCs w:val="16"/>
              </w:rPr>
              <w:t>80</w:t>
            </w:r>
          </w:p>
        </w:tc>
        <w:tc>
          <w:tcPr>
            <w:tcW w:w="0" w:type="auto"/>
          </w:tcPr>
          <w:p w:rsidR="00E679DD" w:rsidRPr="00B41506" w:rsidRDefault="00AB208F" w:rsidP="001168C6">
            <w:pPr>
              <w:jc w:val="center"/>
              <w:rPr>
                <w:rFonts w:ascii="Arial" w:hAnsi="Arial" w:cs="Arial"/>
                <w:sz w:val="16"/>
                <w:szCs w:val="16"/>
              </w:rPr>
            </w:pPr>
            <w:r w:rsidRPr="00B41506">
              <w:rPr>
                <w:rFonts w:ascii="Arial" w:hAnsi="Arial" w:cs="Arial"/>
                <w:sz w:val="16"/>
                <w:szCs w:val="16"/>
              </w:rPr>
              <w:t>Ø</w:t>
            </w:r>
            <w:r w:rsidR="00B83450">
              <w:rPr>
                <w:rFonts w:ascii="Arial" w:hAnsi="Arial" w:cs="Arial"/>
                <w:sz w:val="16"/>
                <w:szCs w:val="16"/>
                <w:lang w:val="en-US"/>
              </w:rPr>
              <w:t>115</w:t>
            </w:r>
            <w:r w:rsidRPr="00B41506">
              <w:rPr>
                <w:rFonts w:ascii="Arial" w:hAnsi="Arial" w:cs="Arial"/>
                <w:sz w:val="16"/>
                <w:szCs w:val="16"/>
              </w:rPr>
              <w:t>×</w:t>
            </w:r>
            <w:r w:rsidR="00B83450">
              <w:rPr>
                <w:rFonts w:ascii="Arial" w:hAnsi="Arial" w:cs="Arial"/>
                <w:sz w:val="16"/>
                <w:szCs w:val="16"/>
                <w:lang w:val="en-US"/>
              </w:rPr>
              <w:t>35</w:t>
            </w:r>
            <w:r w:rsidRPr="00B41506">
              <w:rPr>
                <w:rFonts w:ascii="Arial" w:hAnsi="Arial" w:cs="Arial"/>
                <w:sz w:val="16"/>
                <w:szCs w:val="16"/>
              </w:rPr>
              <w:t>×</w:t>
            </w:r>
            <w:r w:rsidR="00B83450">
              <w:rPr>
                <w:rFonts w:ascii="Arial" w:hAnsi="Arial" w:cs="Arial"/>
                <w:sz w:val="16"/>
                <w:szCs w:val="16"/>
                <w:lang w:val="en-US"/>
              </w:rPr>
              <w:t>8</w:t>
            </w:r>
            <w:r>
              <w:rPr>
                <w:rFonts w:ascii="Arial" w:hAnsi="Arial" w:cs="Arial"/>
                <w:sz w:val="16"/>
                <w:szCs w:val="16"/>
              </w:rPr>
              <w:t>0</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2"/>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B41506"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2мм – 1шт., саморезы винтовые – 2 шт., пластиковые дюбели – 2шт., уплотнители 2 шт.</w:t>
      </w:r>
      <w:r w:rsidR="00C65219">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1168C6">
      <w:pPr>
        <w:pStyle w:val="a3"/>
        <w:numPr>
          <w:ilvl w:val="0"/>
          <w:numId w:val="4"/>
        </w:numPr>
        <w:suppressAutoHyphens/>
        <w:spacing w:after="0" w:line="240" w:lineRule="auto"/>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B83450" w:rsidRPr="009A77C4" w:rsidTr="009B678B">
        <w:tc>
          <w:tcPr>
            <w:tcW w:w="10096" w:type="dxa"/>
          </w:tcPr>
          <w:p w:rsidR="00B83450" w:rsidRPr="009A77C4" w:rsidRDefault="00B83450" w:rsidP="00B83450">
            <w:pPr>
              <w:pStyle w:val="a3"/>
              <w:ind w:left="0"/>
              <w:jc w:val="center"/>
              <w:rPr>
                <w:rFonts w:ascii="Arial" w:hAnsi="Arial" w:cs="Arial"/>
                <w:sz w:val="16"/>
                <w:szCs w:val="16"/>
                <w:lang w:val="en-US"/>
              </w:rPr>
            </w:pPr>
            <w:r w:rsidRPr="009A77C4">
              <w:rPr>
                <w:rFonts w:ascii="Arial" w:hAnsi="Arial" w:cs="Arial"/>
                <w:sz w:val="16"/>
                <w:szCs w:val="16"/>
                <w:lang w:val="en-US"/>
              </w:rPr>
              <w:t>DH101</w:t>
            </w:r>
            <w:r>
              <w:rPr>
                <w:rFonts w:ascii="Arial" w:hAnsi="Arial" w:cs="Arial"/>
                <w:sz w:val="16"/>
                <w:szCs w:val="16"/>
                <w:lang w:val="en-US"/>
              </w:rPr>
              <w:t>, DH701</w:t>
            </w:r>
          </w:p>
        </w:tc>
      </w:tr>
      <w:tr w:rsidR="00B83450" w:rsidTr="00963533">
        <w:tc>
          <w:tcPr>
            <w:tcW w:w="10096" w:type="dxa"/>
          </w:tcPr>
          <w:p w:rsidR="00B83450" w:rsidRDefault="00B83450" w:rsidP="001168C6">
            <w:pPr>
              <w:pStyle w:val="a3"/>
              <w:ind w:left="0"/>
              <w:jc w:val="center"/>
              <w:rPr>
                <w:rFonts w:ascii="Arial" w:hAnsi="Arial" w:cs="Arial"/>
                <w:sz w:val="16"/>
                <w:szCs w:val="16"/>
              </w:rPr>
            </w:pPr>
            <w:r w:rsidRPr="004A0B92">
              <w:rPr>
                <w:rFonts w:ascii="Arial" w:hAnsi="Arial" w:cs="Arial"/>
                <w:noProof/>
                <w:sz w:val="16"/>
                <w:szCs w:val="16"/>
              </w:rPr>
              <w:drawing>
                <wp:inline distT="0" distB="0" distL="0" distR="0" wp14:anchorId="04DC8C37" wp14:editId="1BFBC478">
                  <wp:extent cx="1958278" cy="1849943"/>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8225" cy="1868786"/>
                          </a:xfrm>
                          <a:prstGeom prst="rect">
                            <a:avLst/>
                          </a:prstGeom>
                        </pic:spPr>
                      </pic:pic>
                    </a:graphicData>
                  </a:graphic>
                </wp:inline>
              </w:drawing>
            </w:r>
          </w:p>
        </w:tc>
      </w:tr>
      <w:tr w:rsidR="00784A29" w:rsidRPr="009A77C4" w:rsidTr="00FC1E65">
        <w:tc>
          <w:tcPr>
            <w:tcW w:w="10096" w:type="dxa"/>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Осуществите подключение проводов питающего кабеля к клеммной колодке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lastRenderedPageBreak/>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B83450" w:rsidRDefault="001168C6" w:rsidP="001168C6">
      <w:pPr>
        <w:pStyle w:val="a3"/>
        <w:spacing w:after="0" w:line="240" w:lineRule="auto"/>
        <w:ind w:left="360"/>
        <w:jc w:val="both"/>
        <w:rPr>
          <w:rFonts w:ascii="Arial" w:hAnsi="Arial" w:cs="Arial"/>
          <w:sz w:val="16"/>
          <w:szCs w:val="16"/>
        </w:rPr>
      </w:pPr>
      <w:r w:rsidRPr="004F2B4C">
        <w:rPr>
          <w:rFonts w:ascii="Arial" w:hAnsi="Arial" w:cs="Arial"/>
          <w:sz w:val="16"/>
          <w:szCs w:val="16"/>
        </w:rPr>
        <w:t xml:space="preserve">Сделано в Китае. Изготовитель: </w:t>
      </w:r>
      <w:r w:rsidR="00816244" w:rsidRPr="00816244">
        <w:rPr>
          <w:rFonts w:ascii="Arial" w:hAnsi="Arial" w:cs="Arial"/>
          <w:sz w:val="16"/>
          <w:szCs w:val="16"/>
        </w:rPr>
        <w:t xml:space="preserve">«NINGBO YUSING LIGHTING </w:t>
      </w:r>
      <w:proofErr w:type="gramStart"/>
      <w:r w:rsidR="00816244" w:rsidRPr="00816244">
        <w:rPr>
          <w:rFonts w:ascii="Arial" w:hAnsi="Arial" w:cs="Arial"/>
          <w:sz w:val="16"/>
          <w:szCs w:val="16"/>
        </w:rPr>
        <w:t>CO.,LTD</w:t>
      </w:r>
      <w:proofErr w:type="gramEnd"/>
      <w:r w:rsidR="00816244" w:rsidRPr="00816244">
        <w:rPr>
          <w:rFonts w:ascii="Arial" w:hAnsi="Arial" w:cs="Arial"/>
          <w:sz w:val="16"/>
          <w:szCs w:val="16"/>
        </w:rPr>
        <w:t>» Китай, No.1199,MINGGUANG RD.JIANGSHAN TOWN,NINGBO,CHINA</w:t>
      </w:r>
      <w:r w:rsidR="00816244">
        <w:rPr>
          <w:rFonts w:ascii="Arial" w:hAnsi="Arial" w:cs="Arial"/>
          <w:sz w:val="16"/>
          <w:szCs w:val="16"/>
        </w:rPr>
        <w:t xml:space="preserve"> </w:t>
      </w:r>
      <w:r w:rsidR="00816244" w:rsidRPr="00816244">
        <w:rPr>
          <w:rFonts w:ascii="Arial" w:hAnsi="Arial" w:cs="Arial"/>
          <w:sz w:val="16"/>
          <w:szCs w:val="16"/>
        </w:rPr>
        <w:t>/</w:t>
      </w:r>
      <w:r w:rsidR="00816244">
        <w:rPr>
          <w:rFonts w:ascii="Arial" w:hAnsi="Arial" w:cs="Arial"/>
          <w:sz w:val="16"/>
          <w:szCs w:val="16"/>
        </w:rPr>
        <w:t xml:space="preserve"> </w:t>
      </w:r>
      <w:bookmarkStart w:id="0" w:name="_GoBack"/>
      <w:bookmarkEnd w:id="0"/>
      <w:proofErr w:type="spellStart"/>
      <w:r w:rsidR="00816244" w:rsidRPr="00816244">
        <w:rPr>
          <w:rFonts w:ascii="Arial" w:hAnsi="Arial" w:cs="Arial"/>
          <w:sz w:val="16"/>
          <w:szCs w:val="16"/>
        </w:rPr>
        <w:t>Нинбо</w:t>
      </w:r>
      <w:proofErr w:type="spellEnd"/>
      <w:r w:rsidR="00816244" w:rsidRPr="00816244">
        <w:rPr>
          <w:rFonts w:ascii="Arial" w:hAnsi="Arial" w:cs="Arial"/>
          <w:sz w:val="16"/>
          <w:szCs w:val="16"/>
        </w:rPr>
        <w:t xml:space="preserve"> </w:t>
      </w:r>
      <w:proofErr w:type="spellStart"/>
      <w:r w:rsidR="00816244" w:rsidRPr="00816244">
        <w:rPr>
          <w:rFonts w:ascii="Arial" w:hAnsi="Arial" w:cs="Arial"/>
          <w:sz w:val="16"/>
          <w:szCs w:val="16"/>
        </w:rPr>
        <w:t>Юсинг</w:t>
      </w:r>
      <w:proofErr w:type="spellEnd"/>
      <w:r w:rsidR="00816244" w:rsidRPr="00816244">
        <w:rPr>
          <w:rFonts w:ascii="Arial" w:hAnsi="Arial" w:cs="Arial"/>
          <w:sz w:val="16"/>
          <w:szCs w:val="16"/>
        </w:rPr>
        <w:t xml:space="preserve"> </w:t>
      </w:r>
      <w:proofErr w:type="spellStart"/>
      <w:r w:rsidR="00816244" w:rsidRPr="00816244">
        <w:rPr>
          <w:rFonts w:ascii="Arial" w:hAnsi="Arial" w:cs="Arial"/>
          <w:sz w:val="16"/>
          <w:szCs w:val="16"/>
        </w:rPr>
        <w:t>Лайтинг</w:t>
      </w:r>
      <w:proofErr w:type="spellEnd"/>
      <w:r w:rsidR="00816244" w:rsidRPr="00816244">
        <w:rPr>
          <w:rFonts w:ascii="Arial" w:hAnsi="Arial" w:cs="Arial"/>
          <w:sz w:val="16"/>
          <w:szCs w:val="16"/>
        </w:rPr>
        <w:t xml:space="preserve">, Ко.,  № 1199, </w:t>
      </w:r>
      <w:proofErr w:type="spellStart"/>
      <w:r w:rsidR="00816244" w:rsidRPr="00816244">
        <w:rPr>
          <w:rFonts w:ascii="Arial" w:hAnsi="Arial" w:cs="Arial"/>
          <w:sz w:val="16"/>
          <w:szCs w:val="16"/>
        </w:rPr>
        <w:t>Минггуан</w:t>
      </w:r>
      <w:proofErr w:type="spellEnd"/>
      <w:r w:rsidR="00816244" w:rsidRPr="00816244">
        <w:rPr>
          <w:rFonts w:ascii="Arial" w:hAnsi="Arial" w:cs="Arial"/>
          <w:sz w:val="16"/>
          <w:szCs w:val="16"/>
        </w:rPr>
        <w:t xml:space="preserve"> </w:t>
      </w:r>
      <w:proofErr w:type="spellStart"/>
      <w:r w:rsidR="00816244" w:rsidRPr="00816244">
        <w:rPr>
          <w:rFonts w:ascii="Arial" w:hAnsi="Arial" w:cs="Arial"/>
          <w:sz w:val="16"/>
          <w:szCs w:val="16"/>
        </w:rPr>
        <w:t>Роуд</w:t>
      </w:r>
      <w:proofErr w:type="spellEnd"/>
      <w:r w:rsidR="00816244" w:rsidRPr="00816244">
        <w:rPr>
          <w:rFonts w:ascii="Arial" w:hAnsi="Arial" w:cs="Arial"/>
          <w:sz w:val="16"/>
          <w:szCs w:val="16"/>
        </w:rPr>
        <w:t xml:space="preserve">, </w:t>
      </w:r>
      <w:proofErr w:type="spellStart"/>
      <w:r w:rsidR="00816244" w:rsidRPr="00816244">
        <w:rPr>
          <w:rFonts w:ascii="Arial" w:hAnsi="Arial" w:cs="Arial"/>
          <w:sz w:val="16"/>
          <w:szCs w:val="16"/>
        </w:rPr>
        <w:t>Цзяншань</w:t>
      </w:r>
      <w:proofErr w:type="spellEnd"/>
      <w:r w:rsidR="00816244" w:rsidRPr="00816244">
        <w:rPr>
          <w:rFonts w:ascii="Arial" w:hAnsi="Arial" w:cs="Arial"/>
          <w:sz w:val="16"/>
          <w:szCs w:val="16"/>
        </w:rPr>
        <w:t xml:space="preserve"> </w:t>
      </w:r>
      <w:proofErr w:type="spellStart"/>
      <w:r w:rsidR="00816244" w:rsidRPr="00816244">
        <w:rPr>
          <w:rFonts w:ascii="Arial" w:hAnsi="Arial" w:cs="Arial"/>
          <w:sz w:val="16"/>
          <w:szCs w:val="16"/>
        </w:rPr>
        <w:t>Таун</w:t>
      </w:r>
      <w:proofErr w:type="spellEnd"/>
      <w:r w:rsidR="00816244" w:rsidRPr="00816244">
        <w:rPr>
          <w:rFonts w:ascii="Arial" w:hAnsi="Arial" w:cs="Arial"/>
          <w:sz w:val="16"/>
          <w:szCs w:val="16"/>
        </w:rPr>
        <w:t xml:space="preserve">, </w:t>
      </w:r>
      <w:proofErr w:type="spellStart"/>
      <w:r w:rsidR="00816244" w:rsidRPr="00816244">
        <w:rPr>
          <w:rFonts w:ascii="Arial" w:hAnsi="Arial" w:cs="Arial"/>
          <w:sz w:val="16"/>
          <w:szCs w:val="16"/>
        </w:rPr>
        <w:t>Нинбо</w:t>
      </w:r>
      <w:proofErr w:type="spellEnd"/>
      <w:r w:rsidR="00816244" w:rsidRPr="00816244">
        <w:rPr>
          <w:rFonts w:ascii="Arial" w:hAnsi="Arial" w:cs="Arial"/>
          <w:sz w:val="16"/>
          <w:szCs w:val="16"/>
        </w:rPr>
        <w:t>, Китай</w:t>
      </w:r>
      <w:r w:rsidRPr="004F2B4C">
        <w:rPr>
          <w:rFonts w:ascii="Arial" w:hAnsi="Arial" w:cs="Arial"/>
          <w:sz w:val="16"/>
          <w:szCs w:val="16"/>
        </w:rPr>
        <w:t>. Официальный представитель в РФ</w:t>
      </w:r>
      <w:r w:rsidR="00B83450" w:rsidRPr="00B83450">
        <w:rPr>
          <w:rFonts w:ascii="Arial" w:hAnsi="Arial" w:cs="Arial"/>
          <w:sz w:val="16"/>
          <w:szCs w:val="16"/>
        </w:rPr>
        <w:t xml:space="preserve"> </w:t>
      </w:r>
      <w:r w:rsidR="00B83450">
        <w:rPr>
          <w:rFonts w:ascii="Arial" w:hAnsi="Arial" w:cs="Arial"/>
          <w:sz w:val="16"/>
          <w:szCs w:val="16"/>
        </w:rPr>
        <w:t xml:space="preserve">/ </w:t>
      </w:r>
      <w:r w:rsidRPr="004F2B4C">
        <w:rPr>
          <w:rFonts w:ascii="Arial" w:hAnsi="Arial" w:cs="Arial"/>
          <w:sz w:val="16"/>
          <w:szCs w:val="16"/>
        </w:rPr>
        <w:t xml:space="preserve">Импортер: ООО «СИЛА СВЕТА» Россия, 117405, г. Москва, ул. Дорожная, д. 48, тел. +7(499)394-69-26. </w:t>
      </w:r>
    </w:p>
    <w:p w:rsidR="001168C6" w:rsidRPr="00B41506" w:rsidRDefault="001168C6" w:rsidP="001168C6">
      <w:pPr>
        <w:pStyle w:val="a3"/>
        <w:spacing w:after="0" w:line="240" w:lineRule="auto"/>
        <w:ind w:left="360"/>
        <w:jc w:val="both"/>
        <w:rPr>
          <w:rFonts w:ascii="Arial" w:hAnsi="Arial" w:cs="Arial"/>
          <w:b/>
          <w:sz w:val="16"/>
          <w:szCs w:val="16"/>
        </w:rPr>
      </w:pPr>
      <w:r w:rsidRPr="004F2B4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96FB4"/>
    <w:rsid w:val="002C0117"/>
    <w:rsid w:val="002C45B7"/>
    <w:rsid w:val="002E610E"/>
    <w:rsid w:val="0033252F"/>
    <w:rsid w:val="00395D98"/>
    <w:rsid w:val="00407C48"/>
    <w:rsid w:val="004A0B92"/>
    <w:rsid w:val="004D4D8A"/>
    <w:rsid w:val="004E678E"/>
    <w:rsid w:val="005356B5"/>
    <w:rsid w:val="00555517"/>
    <w:rsid w:val="005558FE"/>
    <w:rsid w:val="005C6798"/>
    <w:rsid w:val="005E5EB4"/>
    <w:rsid w:val="006027E9"/>
    <w:rsid w:val="00667F53"/>
    <w:rsid w:val="006C03E9"/>
    <w:rsid w:val="006E36A2"/>
    <w:rsid w:val="00712189"/>
    <w:rsid w:val="007711F7"/>
    <w:rsid w:val="0077708A"/>
    <w:rsid w:val="00784A29"/>
    <w:rsid w:val="00796EF6"/>
    <w:rsid w:val="007A5106"/>
    <w:rsid w:val="007B67E4"/>
    <w:rsid w:val="007F493E"/>
    <w:rsid w:val="00816244"/>
    <w:rsid w:val="00825B32"/>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2BE3"/>
    <w:rsid w:val="00B41506"/>
    <w:rsid w:val="00B83450"/>
    <w:rsid w:val="00BB785F"/>
    <w:rsid w:val="00BF2E5C"/>
    <w:rsid w:val="00C46C48"/>
    <w:rsid w:val="00C65219"/>
    <w:rsid w:val="00C66D0F"/>
    <w:rsid w:val="00C9027D"/>
    <w:rsid w:val="00CD344B"/>
    <w:rsid w:val="00D53797"/>
    <w:rsid w:val="00D810E4"/>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E622"/>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2022-09-30T11:15:00Z</dcterms:created>
  <dcterms:modified xsi:type="dcterms:W3CDTF">2022-09-30T11:15:00Z</dcterms:modified>
</cp:coreProperties>
</file>